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30EA8D" w14:textId="77777777" w:rsidR="000232EE" w:rsidRDefault="00000000">
      <w:pPr>
        <w:ind w:left="-360" w:right="-1260"/>
        <w:jc w:val="center"/>
      </w:pPr>
      <w:r>
        <w:rPr>
          <w:noProof/>
        </w:rPr>
        <mc:AlternateContent>
          <mc:Choice Requires="wpg">
            <w:drawing>
              <wp:anchor distT="0" distB="0" distL="114300" distR="114300" simplePos="0" relativeHeight="251658240" behindDoc="0" locked="0" layoutInCell="1" hidden="0" allowOverlap="1" wp14:anchorId="4538A08F" wp14:editId="287468FD">
                <wp:simplePos x="0" y="0"/>
                <wp:positionH relativeFrom="margin">
                  <wp:posOffset>-61897</wp:posOffset>
                </wp:positionH>
                <wp:positionV relativeFrom="margin">
                  <wp:posOffset>-323835</wp:posOffset>
                </wp:positionV>
                <wp:extent cx="7124700" cy="576580"/>
                <wp:effectExtent l="0" t="0" r="0" b="0"/>
                <wp:wrapSquare wrapText="bothSides" distT="0" distB="0" distL="114300" distR="114300"/>
                <wp:docPr id="689017382" name="Rectangle 689017382"/>
                <wp:cNvGraphicFramePr/>
                <a:graphic xmlns:a="http://schemas.openxmlformats.org/drawingml/2006/main">
                  <a:graphicData uri="http://schemas.microsoft.com/office/word/2010/wordprocessingShape">
                    <wps:wsp>
                      <wps:cNvSpPr/>
                      <wps:spPr>
                        <a:xfrm>
                          <a:off x="1859850" y="3567910"/>
                          <a:ext cx="6972300" cy="424180"/>
                        </a:xfrm>
                        <a:prstGeom prst="rect">
                          <a:avLst/>
                        </a:prstGeom>
                        <a:noFill/>
                        <a:ln>
                          <a:noFill/>
                        </a:ln>
                      </wps:spPr>
                      <wps:txbx>
                        <w:txbxContent>
                          <w:p w14:paraId="0B6DC00A" w14:textId="77777777" w:rsidR="000232EE" w:rsidRDefault="00000000">
                            <w:pPr>
                              <w:jc w:val="center"/>
                              <w:textDirection w:val="btLr"/>
                            </w:pPr>
                            <w:r>
                              <w:rPr>
                                <w:rFonts w:ascii="Calibri" w:eastAsia="Calibri" w:hAnsi="Calibri" w:cs="Calibri"/>
                                <w:color w:val="000000"/>
                                <w:sz w:val="32"/>
                              </w:rPr>
                              <w:t>Department of Biostatistics and Medical Informatics Seminar</w:t>
                            </w:r>
                          </w:p>
                          <w:p w14:paraId="0C6CF908" w14:textId="77777777" w:rsidR="000232EE" w:rsidRDefault="000232EE">
                            <w:pPr>
                              <w:textDirection w:val="btLr"/>
                            </w:pPr>
                          </w:p>
                        </w:txbxContent>
                      </wps:txbx>
                      <wps:bodyPr spcFirstLastPara="1" wrap="square" lIns="91425" tIns="45700" rIns="91425" bIns="45700" anchor="t" anchorCtr="0">
                        <a:noAutofit/>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margin">
                  <wp:posOffset>-61897</wp:posOffset>
                </wp:positionH>
                <wp:positionV relativeFrom="margin">
                  <wp:posOffset>-323835</wp:posOffset>
                </wp:positionV>
                <wp:extent cx="7124700" cy="576580"/>
                <wp:effectExtent b="0" l="0" r="0" t="0"/>
                <wp:wrapSquare wrapText="bothSides" distB="0" distT="0" distL="114300" distR="114300"/>
                <wp:docPr id="68901738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7124700" cy="576580"/>
                        </a:xfrm>
                        <a:prstGeom prst="rect"/>
                        <a:ln/>
                      </pic:spPr>
                    </pic:pic>
                  </a:graphicData>
                </a:graphic>
              </wp:anchor>
            </w:drawing>
          </mc:Fallback>
        </mc:AlternateContent>
      </w:r>
      <w:r>
        <w:t xml:space="preserve">    </w:t>
      </w:r>
    </w:p>
    <w:p w14:paraId="51A30527" w14:textId="12DBB493" w:rsidR="000232EE" w:rsidRDefault="00DB4073">
      <w:pPr>
        <w:ind w:left="630" w:right="-1260"/>
        <w:jc w:val="center"/>
      </w:pPr>
      <w:r>
        <w:rPr>
          <w:noProof/>
        </w:rPr>
        <mc:AlternateContent>
          <mc:Choice Requires="wps">
            <w:drawing>
              <wp:anchor distT="0" distB="0" distL="114300" distR="114300" simplePos="0" relativeHeight="251661312" behindDoc="0" locked="0" layoutInCell="1" hidden="0" allowOverlap="1" wp14:anchorId="29089184" wp14:editId="1487959E">
                <wp:simplePos x="0" y="0"/>
                <wp:positionH relativeFrom="column">
                  <wp:posOffset>2672080</wp:posOffset>
                </wp:positionH>
                <wp:positionV relativeFrom="paragraph">
                  <wp:posOffset>147320</wp:posOffset>
                </wp:positionV>
                <wp:extent cx="4459605" cy="1231900"/>
                <wp:effectExtent l="0" t="0" r="0" b="0"/>
                <wp:wrapSquare wrapText="bothSides" distT="0" distB="0" distL="114300" distR="114300"/>
                <wp:docPr id="689017381" name="Rectangle 689017381"/>
                <wp:cNvGraphicFramePr/>
                <a:graphic xmlns:a="http://schemas.openxmlformats.org/drawingml/2006/main">
                  <a:graphicData uri="http://schemas.microsoft.com/office/word/2010/wordprocessingShape">
                    <wps:wsp>
                      <wps:cNvSpPr/>
                      <wps:spPr>
                        <a:xfrm>
                          <a:off x="0" y="0"/>
                          <a:ext cx="4459605" cy="1231900"/>
                        </a:xfrm>
                        <a:prstGeom prst="rect">
                          <a:avLst/>
                        </a:prstGeom>
                        <a:noFill/>
                        <a:ln>
                          <a:noFill/>
                        </a:ln>
                      </wps:spPr>
                      <wps:txbx>
                        <w:txbxContent>
                          <w:p w14:paraId="7C79C738" w14:textId="51D6F1AC" w:rsidR="000232EE" w:rsidRDefault="00000000">
                            <w:pPr>
                              <w:textDirection w:val="btLr"/>
                            </w:pPr>
                            <w:r>
                              <w:rPr>
                                <w:rFonts w:ascii="Arial" w:eastAsia="Arial" w:hAnsi="Arial" w:cs="Arial"/>
                                <w:b/>
                                <w:color w:val="333333"/>
                                <w:sz w:val="46"/>
                                <w:highlight w:val="white"/>
                              </w:rPr>
                              <w:t>G</w:t>
                            </w:r>
                            <w:r w:rsidR="00DB4073">
                              <w:rPr>
                                <w:rFonts w:ascii="Arial" w:eastAsia="Arial" w:hAnsi="Arial" w:cs="Arial"/>
                                <w:b/>
                                <w:color w:val="333333"/>
                                <w:sz w:val="46"/>
                                <w:highlight w:val="white"/>
                              </w:rPr>
                              <w:t>ang</w:t>
                            </w:r>
                            <w:r>
                              <w:rPr>
                                <w:rFonts w:ascii="Arial" w:eastAsia="Arial" w:hAnsi="Arial" w:cs="Arial"/>
                                <w:b/>
                                <w:color w:val="333333"/>
                                <w:sz w:val="46"/>
                                <w:highlight w:val="white"/>
                              </w:rPr>
                              <w:t xml:space="preserve"> </w:t>
                            </w:r>
                            <w:r w:rsidR="00DB4073">
                              <w:rPr>
                                <w:rFonts w:ascii="Arial" w:eastAsia="Arial" w:hAnsi="Arial" w:cs="Arial"/>
                                <w:b/>
                                <w:color w:val="333333"/>
                                <w:sz w:val="46"/>
                                <w:highlight w:val="white"/>
                              </w:rPr>
                              <w:t>L</w:t>
                            </w:r>
                            <w:r>
                              <w:rPr>
                                <w:rFonts w:ascii="Arial" w:eastAsia="Arial" w:hAnsi="Arial" w:cs="Arial"/>
                                <w:b/>
                                <w:color w:val="333333"/>
                                <w:sz w:val="46"/>
                                <w:highlight w:val="white"/>
                              </w:rPr>
                              <w:t>i, Ph</w:t>
                            </w:r>
                            <w:r>
                              <w:rPr>
                                <w:rFonts w:ascii="Calibri" w:eastAsia="Calibri" w:hAnsi="Calibri" w:cs="Calibri"/>
                                <w:b/>
                                <w:color w:val="000000"/>
                                <w:sz w:val="48"/>
                              </w:rPr>
                              <w:t>D</w:t>
                            </w:r>
                          </w:p>
                          <w:p w14:paraId="383982C9" w14:textId="40DF65A1" w:rsidR="000232EE" w:rsidRDefault="00000000" w:rsidP="00DB4073">
                            <w:pPr>
                              <w:textDirection w:val="btLr"/>
                            </w:pPr>
                            <w:r>
                              <w:rPr>
                                <w:rFonts w:ascii="Calibri" w:eastAsia="Calibri" w:hAnsi="Calibri" w:cs="Calibri"/>
                                <w:color w:val="333333"/>
                                <w:sz w:val="26"/>
                              </w:rPr>
                              <w:t xml:space="preserve">Professor </w:t>
                            </w:r>
                            <w:r w:rsidR="00DB4073">
                              <w:rPr>
                                <w:rFonts w:ascii="Calibri" w:eastAsia="Calibri" w:hAnsi="Calibri" w:cs="Calibri"/>
                                <w:color w:val="333333"/>
                                <w:sz w:val="26"/>
                              </w:rPr>
                              <w:t>of Biostatistics and Computational Medicine</w:t>
                            </w:r>
                          </w:p>
                          <w:p w14:paraId="6F373C12" w14:textId="354717A0" w:rsidR="000232EE" w:rsidRDefault="00000000">
                            <w:pPr>
                              <w:spacing w:line="275" w:lineRule="auto"/>
                              <w:textDirection w:val="btLr"/>
                              <w:rPr>
                                <w:rFonts w:ascii="Calibri" w:eastAsia="Calibri" w:hAnsi="Calibri" w:cs="Calibri"/>
                                <w:color w:val="333333"/>
                                <w:sz w:val="26"/>
                              </w:rPr>
                            </w:pPr>
                            <w:r>
                              <w:rPr>
                                <w:rFonts w:ascii="Calibri" w:eastAsia="Calibri" w:hAnsi="Calibri" w:cs="Calibri"/>
                                <w:color w:val="333333"/>
                                <w:sz w:val="26"/>
                              </w:rPr>
                              <w:t>University of</w:t>
                            </w:r>
                            <w:r w:rsidR="00DB4073">
                              <w:rPr>
                                <w:rFonts w:ascii="Calibri" w:eastAsia="Calibri" w:hAnsi="Calibri" w:cs="Calibri"/>
                                <w:color w:val="333333"/>
                                <w:sz w:val="26"/>
                              </w:rPr>
                              <w:t xml:space="preserve"> California at Los Angeles</w:t>
                            </w:r>
                          </w:p>
                          <w:p w14:paraId="1FB70A6F" w14:textId="3534B89B" w:rsidR="000232EE" w:rsidRDefault="00DB4073" w:rsidP="00DB4073">
                            <w:pPr>
                              <w:spacing w:line="275" w:lineRule="auto"/>
                              <w:textDirection w:val="btLr"/>
                            </w:pPr>
                            <w:hyperlink r:id="rId8" w:history="1">
                              <w:r w:rsidRPr="00B52753">
                                <w:rPr>
                                  <w:rStyle w:val="Hyperlink"/>
                                </w:rPr>
                                <w:t>https://ph.ucla.edu/about/faculty-staff-directory/gang-li</w:t>
                              </w:r>
                            </w:hyperlink>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29089184" id="Rectangle 689017381" o:spid="_x0000_s1027" style="position:absolute;left:0;text-align:left;margin-left:210.4pt;margin-top:11.6pt;width:351.15pt;height:9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" filled="f" stroked="f">
                <v:textbox inset="2.53958mm,1.2694mm,2.53958mm,1.2694mm">
                  <w:txbxContent>
                    <w:p w14:paraId="7C79C738" w14:textId="51D6F1AC" w:rsidR="000232EE" w:rsidRDefault="00000000">
                      <w:pPr>
                        <w:textDirection w:val="btLr"/>
                      </w:pPr>
                      <w:r>
                        <w:rPr>
                          <w:rFonts w:ascii="Arial" w:eastAsia="Arial" w:hAnsi="Arial" w:cs="Arial"/>
                          <w:b/>
                          <w:color w:val="333333"/>
                          <w:sz w:val="46"/>
                          <w:highlight w:val="white"/>
                        </w:rPr>
                        <w:t>G</w:t>
                      </w:r>
                      <w:r w:rsidR="00DB4073">
                        <w:rPr>
                          <w:rFonts w:ascii="Arial" w:eastAsia="Arial" w:hAnsi="Arial" w:cs="Arial"/>
                          <w:b/>
                          <w:color w:val="333333"/>
                          <w:sz w:val="46"/>
                          <w:highlight w:val="white"/>
                        </w:rPr>
                        <w:t>ang</w:t>
                      </w:r>
                      <w:r>
                        <w:rPr>
                          <w:rFonts w:ascii="Arial" w:eastAsia="Arial" w:hAnsi="Arial" w:cs="Arial"/>
                          <w:b/>
                          <w:color w:val="333333"/>
                          <w:sz w:val="46"/>
                          <w:highlight w:val="white"/>
                        </w:rPr>
                        <w:t xml:space="preserve"> </w:t>
                      </w:r>
                      <w:r w:rsidR="00DB4073">
                        <w:rPr>
                          <w:rFonts w:ascii="Arial" w:eastAsia="Arial" w:hAnsi="Arial" w:cs="Arial"/>
                          <w:b/>
                          <w:color w:val="333333"/>
                          <w:sz w:val="46"/>
                          <w:highlight w:val="white"/>
                        </w:rPr>
                        <w:t>L</w:t>
                      </w:r>
                      <w:r>
                        <w:rPr>
                          <w:rFonts w:ascii="Arial" w:eastAsia="Arial" w:hAnsi="Arial" w:cs="Arial"/>
                          <w:b/>
                          <w:color w:val="333333"/>
                          <w:sz w:val="46"/>
                          <w:highlight w:val="white"/>
                        </w:rPr>
                        <w:t>i, Ph</w:t>
                      </w:r>
                      <w:r>
                        <w:rPr>
                          <w:rFonts w:ascii="Calibri" w:eastAsia="Calibri" w:hAnsi="Calibri" w:cs="Calibri"/>
                          <w:b/>
                          <w:color w:val="000000"/>
                          <w:sz w:val="48"/>
                        </w:rPr>
                        <w:t>D</w:t>
                      </w:r>
                    </w:p>
                    <w:p w14:paraId="383982C9" w14:textId="40DF65A1" w:rsidR="000232EE" w:rsidRDefault="00000000" w:rsidP="00DB4073">
                      <w:pPr>
                        <w:textDirection w:val="btLr"/>
                      </w:pPr>
                      <w:r>
                        <w:rPr>
                          <w:rFonts w:ascii="Calibri" w:eastAsia="Calibri" w:hAnsi="Calibri" w:cs="Calibri"/>
                          <w:color w:val="333333"/>
                          <w:sz w:val="26"/>
                        </w:rPr>
                        <w:t xml:space="preserve">Professor </w:t>
                      </w:r>
                      <w:r w:rsidR="00DB4073">
                        <w:rPr>
                          <w:rFonts w:ascii="Calibri" w:eastAsia="Calibri" w:hAnsi="Calibri" w:cs="Calibri"/>
                          <w:color w:val="333333"/>
                          <w:sz w:val="26"/>
                        </w:rPr>
                        <w:t>of Biostatistics and Computational Medicine</w:t>
                      </w:r>
                    </w:p>
                    <w:p w14:paraId="6F373C12" w14:textId="354717A0" w:rsidR="000232EE" w:rsidRDefault="00000000">
                      <w:pPr>
                        <w:spacing w:line="275" w:lineRule="auto"/>
                        <w:textDirection w:val="btLr"/>
                        <w:rPr>
                          <w:rFonts w:ascii="Calibri" w:eastAsia="Calibri" w:hAnsi="Calibri" w:cs="Calibri"/>
                          <w:color w:val="333333"/>
                          <w:sz w:val="26"/>
                        </w:rPr>
                      </w:pPr>
                      <w:r>
                        <w:rPr>
                          <w:rFonts w:ascii="Calibri" w:eastAsia="Calibri" w:hAnsi="Calibri" w:cs="Calibri"/>
                          <w:color w:val="333333"/>
                          <w:sz w:val="26"/>
                        </w:rPr>
                        <w:t>University of</w:t>
                      </w:r>
                      <w:r w:rsidR="00DB4073">
                        <w:rPr>
                          <w:rFonts w:ascii="Calibri" w:eastAsia="Calibri" w:hAnsi="Calibri" w:cs="Calibri"/>
                          <w:color w:val="333333"/>
                          <w:sz w:val="26"/>
                        </w:rPr>
                        <w:t xml:space="preserve"> California at Los Angeles</w:t>
                      </w:r>
                    </w:p>
                    <w:p w14:paraId="1FB70A6F" w14:textId="3534B89B" w:rsidR="000232EE" w:rsidRDefault="00DB4073" w:rsidP="00DB4073">
                      <w:pPr>
                        <w:spacing w:line="275" w:lineRule="auto"/>
                        <w:textDirection w:val="btLr"/>
                      </w:pPr>
                      <w:hyperlink r:id="rId9" w:history="1">
                        <w:r w:rsidRPr="00B52753">
                          <w:rPr>
                            <w:rStyle w:val="Hyperlink"/>
                          </w:rPr>
                          <w:t>https://ph.ucla.edu/about/faculty-staff-directory/gang-li</w:t>
                        </w:r>
                      </w:hyperlink>
                    </w:p>
                  </w:txbxContent>
                </v:textbox>
                <w10:wrap type="square"/>
              </v:rect>
            </w:pict>
          </mc:Fallback>
        </mc:AlternateContent>
      </w:r>
      <w:r w:rsidR="00000000">
        <w:t xml:space="preserve">                    </w:t>
      </w:r>
      <w:r w:rsidR="00000000">
        <w:rPr>
          <w:noProof/>
        </w:rPr>
        <w:drawing>
          <wp:anchor distT="0" distB="0" distL="114300" distR="114300" simplePos="0" relativeHeight="251659264" behindDoc="0" locked="0" layoutInCell="1" hidden="0" allowOverlap="1" wp14:anchorId="14EC7FFD" wp14:editId="4FF6CABA">
            <wp:simplePos x="0" y="0"/>
            <wp:positionH relativeFrom="column">
              <wp:posOffset>2309496</wp:posOffset>
            </wp:positionH>
            <wp:positionV relativeFrom="paragraph">
              <wp:posOffset>8277225</wp:posOffset>
            </wp:positionV>
            <wp:extent cx="2377440" cy="704088"/>
            <wp:effectExtent l="0" t="0" r="0" b="0"/>
            <wp:wrapNone/>
            <wp:docPr id="689017386" name="image1.png" descr="Z:\My Documents\FORMS\LOGOS\SMPH_color-flush.png"/>
            <wp:cNvGraphicFramePr/>
            <a:graphic xmlns:a="http://schemas.openxmlformats.org/drawingml/2006/main">
              <a:graphicData uri="http://schemas.openxmlformats.org/drawingml/2006/picture">
                <pic:pic xmlns:pic="http://schemas.openxmlformats.org/drawingml/2006/picture">
                  <pic:nvPicPr>
                    <pic:cNvPr id="0" name="image1.png" descr="Z:\My Documents\FORMS\LOGOS\SMPH_color-flush.png"/>
                    <pic:cNvPicPr preferRelativeResize="0"/>
                  </pic:nvPicPr>
                  <pic:blipFill>
                    <a:blip r:embed="rId10"/>
                    <a:srcRect/>
                    <a:stretch>
                      <a:fillRect/>
                    </a:stretch>
                  </pic:blipFill>
                  <pic:spPr>
                    <a:xfrm>
                      <a:off x="0" y="0"/>
                      <a:ext cx="2377440" cy="704088"/>
                    </a:xfrm>
                    <a:prstGeom prst="rect">
                      <a:avLst/>
                    </a:prstGeom>
                    <a:ln/>
                  </pic:spPr>
                </pic:pic>
              </a:graphicData>
            </a:graphic>
          </wp:anchor>
        </w:drawing>
      </w:r>
    </w:p>
    <w:p w14:paraId="76099284" w14:textId="493F0CD2" w:rsidR="000232EE" w:rsidRDefault="00DB4073">
      <w:pPr>
        <w:widowControl w:val="0"/>
        <w:ind w:right="840"/>
        <w:rPr>
          <w:rFonts w:ascii="Calibri" w:eastAsia="Calibri" w:hAnsi="Calibri" w:cs="Calibri"/>
          <w:b/>
          <w:sz w:val="28"/>
          <w:szCs w:val="28"/>
        </w:rPr>
      </w:pPr>
      <w:r>
        <w:rPr>
          <w:noProof/>
        </w:rPr>
        <w:drawing>
          <wp:anchor distT="0" distB="0" distL="114300" distR="114300" simplePos="0" relativeHeight="251665408" behindDoc="0" locked="0" layoutInCell="1" allowOverlap="1" wp14:anchorId="0092C12A" wp14:editId="4E6614BA">
            <wp:simplePos x="0" y="0"/>
            <wp:positionH relativeFrom="column">
              <wp:posOffset>374015</wp:posOffset>
            </wp:positionH>
            <wp:positionV relativeFrom="paragraph">
              <wp:posOffset>36084</wp:posOffset>
            </wp:positionV>
            <wp:extent cx="1987550" cy="2616200"/>
            <wp:effectExtent l="0" t="0" r="6350" b="0"/>
            <wp:wrapSquare wrapText="bothSides"/>
            <wp:docPr id="1" name="Picture 1" descr="A person in a suit smil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erson in a suit smiling&#10;&#10;AI-generated content may be incorrect."/>
                    <pic:cNvPicPr/>
                  </pic:nvPicPr>
                  <pic:blipFill>
                    <a:blip r:embed="rId11">
                      <a:extLst>
                        <a:ext uri="{28A0092B-C50C-407E-A947-70E740481C1C}">
                          <a14:useLocalDpi xmlns:a14="http://schemas.microsoft.com/office/drawing/2010/main" val="0"/>
                        </a:ext>
                      </a:extLst>
                    </a:blip>
                    <a:stretch>
                      <a:fillRect/>
                    </a:stretch>
                  </pic:blipFill>
                  <pic:spPr>
                    <a:xfrm>
                      <a:off x="0" y="0"/>
                      <a:ext cx="1987550" cy="2616200"/>
                    </a:xfrm>
                    <a:prstGeom prst="rect">
                      <a:avLst/>
                    </a:prstGeom>
                  </pic:spPr>
                </pic:pic>
              </a:graphicData>
            </a:graphic>
            <wp14:sizeRelH relativeFrom="page">
              <wp14:pctWidth>0</wp14:pctWidth>
            </wp14:sizeRelH>
            <wp14:sizeRelV relativeFrom="page">
              <wp14:pctHeight>0</wp14:pctHeight>
            </wp14:sizeRelV>
          </wp:anchor>
        </w:drawing>
      </w:r>
      <w:r w:rsidR="00000000">
        <w:rPr>
          <w:rFonts w:ascii="Calibri" w:eastAsia="Calibri" w:hAnsi="Calibri" w:cs="Calibri"/>
          <w:b/>
          <w:sz w:val="28"/>
          <w:szCs w:val="28"/>
        </w:rPr>
        <w:t xml:space="preserve">        </w:t>
      </w:r>
    </w:p>
    <w:p w14:paraId="6846BAA0" w14:textId="272B6444" w:rsidR="000232EE" w:rsidRDefault="00000000">
      <w:pPr>
        <w:widowControl w:val="0"/>
        <w:ind w:left="4410" w:right="1830"/>
        <w:rPr>
          <w:rFonts w:ascii="Calibri" w:eastAsia="Calibri" w:hAnsi="Calibri" w:cs="Calibri"/>
          <w:b/>
          <w:sz w:val="28"/>
          <w:szCs w:val="28"/>
        </w:rPr>
      </w:pPr>
      <w:r>
        <w:rPr>
          <w:rFonts w:ascii="Calibri" w:eastAsia="Calibri" w:hAnsi="Calibri" w:cs="Calibri"/>
          <w:b/>
          <w:sz w:val="28"/>
          <w:szCs w:val="28"/>
        </w:rPr>
        <w:t xml:space="preserve">Friday, </w:t>
      </w:r>
      <w:r w:rsidR="00DB4073">
        <w:rPr>
          <w:rFonts w:ascii="Calibri" w:eastAsia="Calibri" w:hAnsi="Calibri" w:cs="Calibri"/>
          <w:b/>
          <w:sz w:val="28"/>
          <w:szCs w:val="28"/>
        </w:rPr>
        <w:t>November</w:t>
      </w:r>
      <w:r>
        <w:rPr>
          <w:rFonts w:ascii="Calibri" w:eastAsia="Calibri" w:hAnsi="Calibri" w:cs="Calibri"/>
          <w:b/>
          <w:sz w:val="28"/>
          <w:szCs w:val="28"/>
        </w:rPr>
        <w:t xml:space="preserve"> 1</w:t>
      </w:r>
      <w:r w:rsidR="00DB4073">
        <w:rPr>
          <w:rFonts w:ascii="Calibri" w:eastAsia="Calibri" w:hAnsi="Calibri" w:cs="Calibri"/>
          <w:b/>
          <w:sz w:val="28"/>
          <w:szCs w:val="28"/>
        </w:rPr>
        <w:t>4</w:t>
      </w:r>
      <w:r>
        <w:rPr>
          <w:rFonts w:ascii="Calibri" w:eastAsia="Calibri" w:hAnsi="Calibri" w:cs="Calibri"/>
          <w:b/>
          <w:sz w:val="28"/>
          <w:szCs w:val="28"/>
        </w:rPr>
        <w:t>, 2025</w:t>
      </w:r>
    </w:p>
    <w:p w14:paraId="7C7282E2" w14:textId="77777777" w:rsidR="000232EE" w:rsidRDefault="00000000">
      <w:pPr>
        <w:widowControl w:val="0"/>
        <w:ind w:left="4410" w:right="1830"/>
        <w:rPr>
          <w:rFonts w:ascii="Calibri" w:eastAsia="Calibri" w:hAnsi="Calibri" w:cs="Calibri"/>
          <w:b/>
          <w:sz w:val="28"/>
          <w:szCs w:val="28"/>
        </w:rPr>
      </w:pPr>
      <w:r>
        <w:rPr>
          <w:rFonts w:ascii="Calibri" w:eastAsia="Calibri" w:hAnsi="Calibri" w:cs="Calibri"/>
          <w:b/>
          <w:sz w:val="28"/>
          <w:szCs w:val="28"/>
        </w:rPr>
        <w:t>12:00-1:00 pm</w:t>
      </w:r>
    </w:p>
    <w:p w14:paraId="5014147B" w14:textId="77777777" w:rsidR="000232EE" w:rsidRDefault="00000000">
      <w:pPr>
        <w:widowControl w:val="0"/>
        <w:ind w:left="4410" w:right="1830"/>
        <w:rPr>
          <w:rFonts w:ascii="Calibri" w:eastAsia="Calibri" w:hAnsi="Calibri" w:cs="Calibri"/>
          <w:b/>
          <w:sz w:val="28"/>
          <w:szCs w:val="28"/>
        </w:rPr>
      </w:pPr>
      <w:r>
        <w:rPr>
          <w:rFonts w:ascii="Calibri" w:eastAsia="Calibri" w:hAnsi="Calibri" w:cs="Calibri"/>
          <w:b/>
          <w:sz w:val="28"/>
          <w:szCs w:val="28"/>
        </w:rPr>
        <w:t>Morgridge Hall Seminar Room 7560 or Zoom:</w:t>
      </w:r>
    </w:p>
    <w:p w14:paraId="2D62A09B" w14:textId="77777777" w:rsidR="000232EE" w:rsidRDefault="00000000">
      <w:pPr>
        <w:widowControl w:val="0"/>
        <w:ind w:left="4410" w:right="1830"/>
      </w:pPr>
      <w:hyperlink r:id="rId12">
        <w:r>
          <w:rPr>
            <w:rFonts w:ascii="Calibri" w:eastAsia="Calibri" w:hAnsi="Calibri" w:cs="Calibri"/>
            <w:color w:val="1155CC"/>
            <w:u w:val="single"/>
          </w:rPr>
          <w:t>https://uwmadison.zoom.us/j/99879638765?pwd=</w:t>
        </w:r>
      </w:hyperlink>
    </w:p>
    <w:p w14:paraId="3BB81FB1" w14:textId="77777777" w:rsidR="000232EE" w:rsidRDefault="00000000">
      <w:pPr>
        <w:widowControl w:val="0"/>
        <w:ind w:left="4410" w:right="1830"/>
        <w:rPr>
          <w:rFonts w:ascii="Calibri" w:eastAsia="Calibri" w:hAnsi="Calibri" w:cs="Calibri"/>
          <w:color w:val="000099"/>
          <w:u w:val="single"/>
        </w:rPr>
      </w:pPr>
      <w:hyperlink r:id="rId13">
        <w:r>
          <w:rPr>
            <w:rFonts w:ascii="Calibri" w:eastAsia="Calibri" w:hAnsi="Calibri" w:cs="Calibri"/>
            <w:color w:val="1155CC"/>
            <w:u w:val="single"/>
          </w:rPr>
          <w:t>wbtqxoucEFIlPVCVc9SFbvKB1Av7Xk.1</w:t>
        </w:r>
      </w:hyperlink>
      <w:r>
        <w:rPr>
          <w:rFonts w:ascii="Calibri" w:eastAsia="Calibri" w:hAnsi="Calibri" w:cs="Calibri"/>
          <w:color w:val="000099"/>
          <w:u w:val="single"/>
        </w:rPr>
        <w:t xml:space="preserve"> </w:t>
      </w:r>
    </w:p>
    <w:p w14:paraId="21A4AAC9" w14:textId="60066E77" w:rsidR="000232EE" w:rsidRDefault="00B76378">
      <w:pPr>
        <w:widowControl w:val="0"/>
        <w:ind w:left="4410" w:right="1830"/>
      </w:pPr>
      <w:r>
        <w:rPr>
          <w:noProof/>
        </w:rPr>
        <mc:AlternateContent>
          <mc:Choice Requires="wps">
            <w:drawing>
              <wp:anchor distT="0" distB="0" distL="114300" distR="114300" simplePos="0" relativeHeight="251663360" behindDoc="0" locked="0" layoutInCell="1" hidden="0" allowOverlap="1" wp14:anchorId="117FB9EB" wp14:editId="1650081F">
                <wp:simplePos x="0" y="0"/>
                <wp:positionH relativeFrom="column">
                  <wp:posOffset>64356</wp:posOffset>
                </wp:positionH>
                <wp:positionV relativeFrom="paragraph">
                  <wp:posOffset>319929</wp:posOffset>
                </wp:positionV>
                <wp:extent cx="6997065" cy="476885"/>
                <wp:effectExtent l="0" t="0" r="0" b="0"/>
                <wp:wrapSquare wrapText="bothSides" distT="0" distB="0" distL="114300" distR="114300"/>
                <wp:docPr id="689017383" name="Rectangle 689017383"/>
                <wp:cNvGraphicFramePr/>
                <a:graphic xmlns:a="http://schemas.openxmlformats.org/drawingml/2006/main">
                  <a:graphicData uri="http://schemas.microsoft.com/office/word/2010/wordprocessingShape">
                    <wps:wsp>
                      <wps:cNvSpPr/>
                      <wps:spPr>
                        <a:xfrm>
                          <a:off x="0" y="0"/>
                          <a:ext cx="6997065" cy="476885"/>
                        </a:xfrm>
                        <a:prstGeom prst="rect">
                          <a:avLst/>
                        </a:prstGeom>
                        <a:noFill/>
                        <a:ln>
                          <a:noFill/>
                        </a:ln>
                      </wps:spPr>
                      <wps:txbx>
                        <w:txbxContent>
                          <w:p w14:paraId="468FC94B" w14:textId="4C4B454D" w:rsidR="000232EE" w:rsidRDefault="00000000">
                            <w:pPr>
                              <w:jc w:val="center"/>
                              <w:textDirection w:val="btLr"/>
                            </w:pPr>
                            <w:r>
                              <w:rPr>
                                <w:rFonts w:ascii="Calibri" w:eastAsia="Calibri" w:hAnsi="Calibri" w:cs="Calibri"/>
                                <w:b/>
                                <w:color w:val="000000"/>
                                <w:sz w:val="44"/>
                              </w:rPr>
                              <w:t xml:space="preserve"> </w:t>
                            </w:r>
                            <w:r w:rsidR="00DB4073">
                              <w:rPr>
                                <w:rFonts w:ascii="Calibri" w:eastAsia="Calibri" w:hAnsi="Calibri" w:cs="Calibri"/>
                                <w:b/>
                                <w:color w:val="000000"/>
                                <w:sz w:val="44"/>
                              </w:rPr>
                              <w:t>Prediction Performance Measures for Time-to-Event Data</w:t>
                            </w:r>
                          </w:p>
                          <w:p w14:paraId="152A2827" w14:textId="77777777" w:rsidR="000232EE" w:rsidRDefault="000232EE">
                            <w:pPr>
                              <w:jc w:val="center"/>
                              <w:textDirection w:val="btLr"/>
                            </w:pPr>
                          </w:p>
                          <w:p w14:paraId="0D5314D9" w14:textId="77777777" w:rsidR="000232EE" w:rsidRDefault="000232EE">
                            <w:pPr>
                              <w:jc w:val="center"/>
                              <w:textDirection w:val="btLr"/>
                            </w:pP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117FB9EB" id="Rectangle 689017383" o:spid="_x0000_s1028" style="position:absolute;left:0;text-align:left;margin-left:5.05pt;margin-top:25.2pt;width:550.95pt;height:37.5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" filled="f" stroked="f">
                <v:textbox inset="2.53958mm,1.2694mm,2.53958mm,1.2694mm">
                  <w:txbxContent>
                    <w:p w14:paraId="468FC94B" w14:textId="4C4B454D" w:rsidR="000232EE" w:rsidRDefault="00000000">
                      <w:pPr>
                        <w:jc w:val="center"/>
                        <w:textDirection w:val="btLr"/>
                      </w:pPr>
                      <w:r>
                        <w:rPr>
                          <w:rFonts w:ascii="Calibri" w:eastAsia="Calibri" w:hAnsi="Calibri" w:cs="Calibri"/>
                          <w:b/>
                          <w:color w:val="000000"/>
                          <w:sz w:val="44"/>
                        </w:rPr>
                        <w:t xml:space="preserve"> </w:t>
                      </w:r>
                      <w:r w:rsidR="00DB4073">
                        <w:rPr>
                          <w:rFonts w:ascii="Calibri" w:eastAsia="Calibri" w:hAnsi="Calibri" w:cs="Calibri"/>
                          <w:b/>
                          <w:color w:val="000000"/>
                          <w:sz w:val="44"/>
                        </w:rPr>
                        <w:t>Prediction Performance Measures for Time-to-Event Data</w:t>
                      </w:r>
                    </w:p>
                    <w:p w14:paraId="152A2827" w14:textId="77777777" w:rsidR="000232EE" w:rsidRDefault="000232EE">
                      <w:pPr>
                        <w:jc w:val="center"/>
                        <w:textDirection w:val="btLr"/>
                      </w:pPr>
                    </w:p>
                    <w:p w14:paraId="0D5314D9" w14:textId="77777777" w:rsidR="000232EE" w:rsidRDefault="000232EE">
                      <w:pPr>
                        <w:jc w:val="center"/>
                        <w:textDirection w:val="btLr"/>
                      </w:pPr>
                    </w:p>
                  </w:txbxContent>
                </v:textbox>
                <w10:wrap type="square"/>
              </v:rect>
            </w:pict>
          </mc:Fallback>
        </mc:AlternateContent>
      </w:r>
      <w:r w:rsidR="00DB4073">
        <w:rPr>
          <w:noProof/>
        </w:rPr>
        <mc:AlternateContent>
          <mc:Choice Requires="wps">
            <w:drawing>
              <wp:anchor distT="0" distB="0" distL="114300" distR="114300" simplePos="0" relativeHeight="251662336" behindDoc="0" locked="0" layoutInCell="1" hidden="0" allowOverlap="1" wp14:anchorId="077ED5C0" wp14:editId="70F4A47E">
                <wp:simplePos x="0" y="0"/>
                <wp:positionH relativeFrom="column">
                  <wp:posOffset>135255</wp:posOffset>
                </wp:positionH>
                <wp:positionV relativeFrom="paragraph">
                  <wp:posOffset>867410</wp:posOffset>
                </wp:positionV>
                <wp:extent cx="7063105" cy="4706620"/>
                <wp:effectExtent l="0" t="0" r="0" b="0"/>
                <wp:wrapSquare wrapText="bothSides" distT="0" distB="0" distL="114300" distR="114300"/>
                <wp:docPr id="689017384" name="Rectangle 689017384"/>
                <wp:cNvGraphicFramePr/>
                <a:graphic xmlns:a="http://schemas.openxmlformats.org/drawingml/2006/main">
                  <a:graphicData uri="http://schemas.microsoft.com/office/word/2010/wordprocessingShape">
                    <wps:wsp>
                      <wps:cNvSpPr/>
                      <wps:spPr>
                        <a:xfrm>
                          <a:off x="0" y="0"/>
                          <a:ext cx="7063105" cy="4706620"/>
                        </a:xfrm>
                        <a:prstGeom prst="rect">
                          <a:avLst/>
                        </a:prstGeom>
                        <a:noFill/>
                        <a:ln>
                          <a:noFill/>
                        </a:ln>
                      </wps:spPr>
                      <wps:txbx>
                        <w:txbxContent>
                          <w:p w14:paraId="0B535D6B" w14:textId="77777777" w:rsidR="00DB4073" w:rsidRPr="0049544B" w:rsidRDefault="00000000" w:rsidP="00DB4073">
                            <w:pPr>
                              <w:rPr>
                                <w:rFonts w:ascii="Arial" w:hAnsi="Arial" w:cs="Arial"/>
                                <w:color w:val="0D0D0D"/>
                                <w:sz w:val="22"/>
                                <w:szCs w:val="22"/>
                                <w:shd w:val="clear" w:color="auto" w:fill="FFFFFF"/>
                              </w:rPr>
                            </w:pPr>
                            <w:r>
                              <w:rPr>
                                <w:rFonts w:ascii="Arial" w:eastAsia="Arial" w:hAnsi="Arial" w:cs="Arial"/>
                                <w:b/>
                                <w:color w:val="000000"/>
                                <w:sz w:val="22"/>
                                <w:highlight w:val="white"/>
                              </w:rPr>
                              <w:t>Abstract:</w:t>
                            </w:r>
                            <w:r>
                              <w:rPr>
                                <w:rFonts w:ascii="Arial" w:eastAsia="Arial" w:hAnsi="Arial" w:cs="Arial"/>
                                <w:color w:val="000000"/>
                                <w:sz w:val="22"/>
                                <w:highlight w:val="white"/>
                              </w:rPr>
                              <w:t xml:space="preserve"> </w:t>
                            </w:r>
                            <w:r w:rsidR="00DB4073" w:rsidRPr="005A22AD">
                              <w:rPr>
                                <w:rFonts w:ascii="Arial" w:hAnsi="Arial" w:cs="Arial"/>
                                <w:color w:val="0D0D0D"/>
                                <w:sz w:val="22"/>
                                <w:szCs w:val="22"/>
                                <w:shd w:val="clear" w:color="auto" w:fill="FFFFFF"/>
                              </w:rPr>
                              <w:t xml:space="preserve">Evaluating and validating the performance of prediction models is a crucial task in statistics, machine learning, and their diverse applications, including precision medicine. However, developing robust prediction performance measures, particularly for time-to-event data, poses unique challenges. In this talk, I will highlight how conventional performance metrics for time-to-event data—such as the C-index, Brier Score, and time-dependent AUC—may yield undesirable results when comparing prediction models or algorithms. I will then introduce a novel time-dependent </w:t>
                            </w:r>
                            <w:proofErr w:type="gramStart"/>
                            <w:r w:rsidR="00DB4073" w:rsidRPr="005A22AD">
                              <w:rPr>
                                <w:rFonts w:ascii="Arial" w:hAnsi="Arial" w:cs="Arial"/>
                                <w:color w:val="0D0D0D"/>
                                <w:sz w:val="22"/>
                                <w:szCs w:val="22"/>
                                <w:shd w:val="clear" w:color="auto" w:fill="FFFFFF"/>
                              </w:rPr>
                              <w:t>pseudo R</w:t>
                            </w:r>
                            <w:proofErr w:type="gramEnd"/>
                            <w:r w:rsidR="00DB4073" w:rsidRPr="005A22AD">
                              <w:rPr>
                                <w:rFonts w:ascii="Arial" w:hAnsi="Arial" w:cs="Arial"/>
                                <w:color w:val="0D0D0D"/>
                                <w:sz w:val="22"/>
                                <w:szCs w:val="22"/>
                                <w:shd w:val="clear" w:color="auto" w:fill="FFFFFF"/>
                              </w:rPr>
                              <w:t xml:space="preserve">-squared measure and demonstrate its utility as a prediction performance metric for uncensored and right-censored time-to-event data. Additionally, I will discuss its extension to </w:t>
                            </w:r>
                            <w:proofErr w:type="gramStart"/>
                            <w:r w:rsidR="00DB4073" w:rsidRPr="005A22AD">
                              <w:rPr>
                                <w:rFonts w:ascii="Arial" w:hAnsi="Arial" w:cs="Arial"/>
                                <w:color w:val="0D0D0D"/>
                                <w:sz w:val="22"/>
                                <w:szCs w:val="22"/>
                                <w:shd w:val="clear" w:color="auto" w:fill="FFFFFF"/>
                              </w:rPr>
                              <w:t>competing</w:t>
                            </w:r>
                            <w:proofErr w:type="gramEnd"/>
                            <w:r w:rsidR="00DB4073" w:rsidRPr="005A22AD">
                              <w:rPr>
                                <w:rFonts w:ascii="Arial" w:hAnsi="Arial" w:cs="Arial"/>
                                <w:color w:val="0D0D0D"/>
                                <w:sz w:val="22"/>
                                <w:szCs w:val="22"/>
                                <w:shd w:val="clear" w:color="auto" w:fill="FFFFFF"/>
                              </w:rPr>
                              <w:t xml:space="preserve"> risks scenarios and to popular epidemiologic designs, including case-cohort and nested case-control designs. Its effectiveness will be demonstrated through simulations and real-world examples.</w:t>
                            </w:r>
                          </w:p>
                          <w:p w14:paraId="095793AA" w14:textId="77777777" w:rsidR="00B76378" w:rsidRDefault="00B76378">
                            <w:pPr>
                              <w:spacing w:line="275" w:lineRule="auto"/>
                              <w:textDirection w:val="btLr"/>
                            </w:pPr>
                          </w:p>
                          <w:p w14:paraId="4EF2D085" w14:textId="4809B593" w:rsidR="000232EE" w:rsidRDefault="00000000">
                            <w:pPr>
                              <w:spacing w:line="275" w:lineRule="auto"/>
                              <w:textDirection w:val="btLr"/>
                            </w:pPr>
                            <w:r>
                              <w:rPr>
                                <w:rFonts w:ascii="Arial" w:eastAsia="Arial" w:hAnsi="Arial" w:cs="Arial"/>
                                <w:b/>
                                <w:color w:val="000000"/>
                                <w:sz w:val="22"/>
                                <w:highlight w:val="white"/>
                              </w:rPr>
                              <w:t>Bio</w:t>
                            </w:r>
                            <w:r>
                              <w:rPr>
                                <w:rFonts w:ascii="Arial" w:eastAsia="Arial" w:hAnsi="Arial" w:cs="Arial"/>
                                <w:color w:val="000000"/>
                                <w:sz w:val="22"/>
                                <w:highlight w:val="white"/>
                              </w:rPr>
                              <w:t xml:space="preserve">: </w:t>
                            </w:r>
                            <w:r w:rsidR="00DB4073" w:rsidRPr="00B76378">
                              <w:rPr>
                                <w:rFonts w:ascii="Arial" w:eastAsia="Arial" w:hAnsi="Arial" w:cs="Arial"/>
                                <w:b/>
                                <w:bCs/>
                                <w:color w:val="000000"/>
                                <w:sz w:val="22"/>
                              </w:rPr>
                              <w:t xml:space="preserve">Dr. </w:t>
                            </w:r>
                            <w:r w:rsidR="00DB4073" w:rsidRPr="00B76378">
                              <w:rPr>
                                <w:rFonts w:ascii="Arial" w:hAnsi="Arial" w:cs="Arial"/>
                                <w:b/>
                                <w:bCs/>
                                <w:color w:val="0D0D0D"/>
                                <w:sz w:val="22"/>
                                <w:szCs w:val="22"/>
                                <w:shd w:val="clear" w:color="auto" w:fill="FFFFFF"/>
                              </w:rPr>
                              <w:t>Gang Li</w:t>
                            </w:r>
                            <w:r w:rsidR="00DB4073" w:rsidRPr="00394EBF">
                              <w:rPr>
                                <w:rFonts w:ascii="Arial" w:hAnsi="Arial" w:cs="Arial"/>
                                <w:color w:val="0D0D0D"/>
                                <w:sz w:val="22"/>
                                <w:szCs w:val="22"/>
                                <w:shd w:val="clear" w:color="auto" w:fill="FFFFFF"/>
                              </w:rPr>
                              <w:t xml:space="preserve"> is Professor of Biostatistics and Computational Medicine at the University of California, Los Angeles (UCLA), where he also serves as Director of the UCLA Health Jonsson Comprehensive Cancer Center Biostatistics Shared Resource. He is an Elected Fellow of the Institute of Mathematical Statistics, the American Statistical Association, and the Royal Statistical Society, as well as an Elected Member of the International Statistical Institute.</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Dr. Li has held numerous leadership roles in the statistical profession, including servi</w:t>
                            </w:r>
                            <w:r w:rsidR="00DB4073">
                              <w:rPr>
                                <w:rFonts w:ascii="Arial" w:hAnsi="Arial" w:cs="Arial"/>
                                <w:color w:val="0D0D0D"/>
                                <w:sz w:val="22"/>
                                <w:szCs w:val="22"/>
                                <w:shd w:val="clear" w:color="auto" w:fill="FFFFFF"/>
                              </w:rPr>
                              <w:t>ng</w:t>
                            </w:r>
                            <w:r w:rsidR="00DB4073" w:rsidRPr="00394EBF">
                              <w:rPr>
                                <w:rFonts w:ascii="Arial" w:hAnsi="Arial" w:cs="Arial"/>
                                <w:color w:val="0D0D0D"/>
                                <w:sz w:val="22"/>
                                <w:szCs w:val="22"/>
                                <w:shd w:val="clear" w:color="auto" w:fill="FFFFFF"/>
                              </w:rPr>
                              <w:t xml:space="preserve"> as </w:t>
                            </w:r>
                            <w:r w:rsidR="00DB4073">
                              <w:rPr>
                                <w:rFonts w:ascii="Arial" w:hAnsi="Arial" w:cs="Arial"/>
                                <w:color w:val="0D0D0D"/>
                                <w:sz w:val="22"/>
                                <w:szCs w:val="22"/>
                                <w:shd w:val="clear" w:color="auto" w:fill="FFFFFF"/>
                              </w:rPr>
                              <w:t>C</w:t>
                            </w:r>
                            <w:r w:rsidR="00DB4073" w:rsidRPr="00394EBF">
                              <w:rPr>
                                <w:rFonts w:ascii="Arial" w:hAnsi="Arial" w:cs="Arial"/>
                                <w:color w:val="0D0D0D"/>
                                <w:sz w:val="22"/>
                                <w:szCs w:val="22"/>
                                <w:shd w:val="clear" w:color="auto" w:fill="FFFFFF"/>
                              </w:rPr>
                              <w:t xml:space="preserve">o-Editor-in-Chief </w:t>
                            </w:r>
                            <w:r w:rsidR="00DB4073">
                              <w:rPr>
                                <w:rFonts w:ascii="Arial" w:hAnsi="Arial" w:cs="Arial"/>
                                <w:color w:val="0D0D0D"/>
                                <w:sz w:val="22"/>
                                <w:szCs w:val="22"/>
                                <w:shd w:val="clear" w:color="auto" w:fill="FFFFFF"/>
                              </w:rPr>
                              <w:t xml:space="preserve">(2021-2024) </w:t>
                            </w:r>
                            <w:r w:rsidR="00DB4073" w:rsidRPr="00394EBF">
                              <w:rPr>
                                <w:rFonts w:ascii="Arial" w:hAnsi="Arial" w:cs="Arial"/>
                                <w:color w:val="0D0D0D"/>
                                <w:sz w:val="22"/>
                                <w:szCs w:val="22"/>
                                <w:shd w:val="clear" w:color="auto" w:fill="FFFFFF"/>
                              </w:rPr>
                              <w:t xml:space="preserve">of the </w:t>
                            </w:r>
                            <w:r w:rsidR="00DB4073" w:rsidRPr="00394EBF">
                              <w:rPr>
                                <w:rFonts w:ascii="Arial" w:hAnsi="Arial" w:cs="Arial"/>
                                <w:i/>
                                <w:iCs/>
                                <w:color w:val="0D0D0D"/>
                                <w:sz w:val="22"/>
                                <w:szCs w:val="22"/>
                                <w:shd w:val="clear" w:color="auto" w:fill="FFFFFF"/>
                              </w:rPr>
                              <w:t>Electronic Journal of Statistics</w:t>
                            </w:r>
                            <w:r w:rsidR="00DB4073" w:rsidRPr="00394EBF">
                              <w:rPr>
                                <w:rFonts w:ascii="Arial" w:hAnsi="Arial" w:cs="Arial"/>
                                <w:color w:val="0D0D0D"/>
                                <w:sz w:val="22"/>
                                <w:szCs w:val="22"/>
                                <w:shd w:val="clear" w:color="auto" w:fill="FFFFFF"/>
                              </w:rPr>
                              <w:t xml:space="preserve"> (published jointly by the Institute of Mathematical Statistics and the Bernoulli Society) and as President of the International Chinese Statistical Association</w:t>
                            </w:r>
                            <w:r w:rsidR="00DB4073">
                              <w:rPr>
                                <w:rFonts w:ascii="Arial" w:hAnsi="Arial" w:cs="Arial"/>
                                <w:color w:val="0D0D0D"/>
                                <w:sz w:val="22"/>
                                <w:szCs w:val="22"/>
                                <w:shd w:val="clear" w:color="auto" w:fill="FFFFFF"/>
                              </w:rPr>
                              <w:t xml:space="preserve"> (2021-2024)</w:t>
                            </w:r>
                            <w:r w:rsidR="00DB4073" w:rsidRPr="00394EBF">
                              <w:rPr>
                                <w:rFonts w:ascii="Arial" w:hAnsi="Arial" w:cs="Arial"/>
                                <w:color w:val="0D0D0D"/>
                                <w:sz w:val="22"/>
                                <w:szCs w:val="22"/>
                                <w:shd w:val="clear" w:color="auto" w:fill="FFFFFF"/>
                              </w:rPr>
                              <w:t>.</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 xml:space="preserve">His research spans a broad range of areas, including survival analysis, longitudinal data analysis, high-dimensional data analysis, clinical trials, statistical learning, causal inference, and high-performance statistical computing for large-scale electronic health records (EHR) and biobank data. He has made substantial contributions to these fields, co-authored or edited three research monographs, and published more than 160 peer-reviewed papers in leading journals such as the </w:t>
                            </w:r>
                            <w:r w:rsidR="00DB4073" w:rsidRPr="00394EBF">
                              <w:rPr>
                                <w:rFonts w:ascii="Arial" w:hAnsi="Arial" w:cs="Arial"/>
                                <w:i/>
                                <w:iCs/>
                                <w:color w:val="0D0D0D"/>
                                <w:sz w:val="22"/>
                                <w:szCs w:val="22"/>
                                <w:shd w:val="clear" w:color="auto" w:fill="FFFFFF"/>
                              </w:rPr>
                              <w:t>Annals of Statistics</w:t>
                            </w:r>
                            <w:r w:rsidR="00DB4073" w:rsidRPr="00394EBF">
                              <w:rPr>
                                <w:rFonts w:ascii="Arial" w:hAnsi="Arial" w:cs="Arial"/>
                                <w:color w:val="0D0D0D"/>
                                <w:sz w:val="22"/>
                                <w:szCs w:val="22"/>
                                <w:shd w:val="clear" w:color="auto" w:fill="FFFFFF"/>
                              </w:rPr>
                              <w:t xml:space="preserve">, the </w:t>
                            </w:r>
                            <w:r w:rsidR="00DB4073" w:rsidRPr="00394EBF">
                              <w:rPr>
                                <w:rFonts w:ascii="Arial" w:hAnsi="Arial" w:cs="Arial"/>
                                <w:i/>
                                <w:iCs/>
                                <w:color w:val="0D0D0D"/>
                                <w:sz w:val="22"/>
                                <w:szCs w:val="22"/>
                                <w:shd w:val="clear" w:color="auto" w:fill="FFFFFF"/>
                              </w:rPr>
                              <w:t>Journal of the American Statistical Association</w:t>
                            </w:r>
                            <w:r w:rsidR="00DB4073" w:rsidRPr="00394EBF">
                              <w:rPr>
                                <w:rFonts w:ascii="Arial" w:hAnsi="Arial" w:cs="Arial"/>
                                <w:color w:val="0D0D0D"/>
                                <w:sz w:val="22"/>
                                <w:szCs w:val="22"/>
                                <w:shd w:val="clear" w:color="auto" w:fill="FFFFFF"/>
                              </w:rPr>
                              <w:t xml:space="preserve">, and the </w:t>
                            </w:r>
                            <w:r w:rsidR="00DB4073" w:rsidRPr="00394EBF">
                              <w:rPr>
                                <w:rFonts w:ascii="Arial" w:hAnsi="Arial" w:cs="Arial"/>
                                <w:i/>
                                <w:iCs/>
                                <w:color w:val="0D0D0D"/>
                                <w:sz w:val="22"/>
                                <w:szCs w:val="22"/>
                                <w:shd w:val="clear" w:color="auto" w:fill="FFFFFF"/>
                              </w:rPr>
                              <w:t>Journal of the Royal Statistical Society: Series B</w:t>
                            </w:r>
                            <w:r w:rsidR="00DB4073" w:rsidRPr="00394EBF">
                              <w:rPr>
                                <w:rFonts w:ascii="Arial" w:hAnsi="Arial" w:cs="Arial"/>
                                <w:color w:val="0D0D0D"/>
                                <w:sz w:val="22"/>
                                <w:szCs w:val="22"/>
                                <w:shd w:val="clear" w:color="auto" w:fill="FFFFFF"/>
                              </w:rPr>
                              <w:t>.</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In addition to methodological research, Dr. Li is deeply engaged in collaborative studies in basic science, translational science, and clinical trials. He has served as Principal Investigator on numerous projects supported by the National Institutes of Health (NIH) and the National Science Foundation (NSF).</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077ED5C0" id="Rectangle 689017384" o:spid="_x0000_s1029" style="position:absolute;left:0;text-align:left;margin-left:10.65pt;margin-top:68.3pt;width:556.15pt;height:370.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" filled="f" stroked="f">
                <v:textbox inset="2.53958mm,1.2694mm,2.53958mm,1.2694mm">
                  <w:txbxContent>
                    <w:p w14:paraId="0B535D6B" w14:textId="77777777" w:rsidR="00DB4073" w:rsidRPr="0049544B" w:rsidRDefault="00000000" w:rsidP="00DB4073">
                      <w:pPr>
                        <w:rPr>
                          <w:rFonts w:ascii="Arial" w:hAnsi="Arial" w:cs="Arial"/>
                          <w:color w:val="0D0D0D"/>
                          <w:sz w:val="22"/>
                          <w:szCs w:val="22"/>
                          <w:shd w:val="clear" w:color="auto" w:fill="FFFFFF"/>
                        </w:rPr>
                      </w:pPr>
                      <w:r>
                        <w:rPr>
                          <w:rFonts w:ascii="Arial" w:eastAsia="Arial" w:hAnsi="Arial" w:cs="Arial"/>
                          <w:b/>
                          <w:color w:val="000000"/>
                          <w:sz w:val="22"/>
                          <w:highlight w:val="white"/>
                        </w:rPr>
                        <w:t>Abstract:</w:t>
                      </w:r>
                      <w:r>
                        <w:rPr>
                          <w:rFonts w:ascii="Arial" w:eastAsia="Arial" w:hAnsi="Arial" w:cs="Arial"/>
                          <w:color w:val="000000"/>
                          <w:sz w:val="22"/>
                          <w:highlight w:val="white"/>
                        </w:rPr>
                        <w:t xml:space="preserve"> </w:t>
                      </w:r>
                      <w:r w:rsidR="00DB4073" w:rsidRPr="005A22AD">
                        <w:rPr>
                          <w:rFonts w:ascii="Arial" w:hAnsi="Arial" w:cs="Arial"/>
                          <w:color w:val="0D0D0D"/>
                          <w:sz w:val="22"/>
                          <w:szCs w:val="22"/>
                          <w:shd w:val="clear" w:color="auto" w:fill="FFFFFF"/>
                        </w:rPr>
                        <w:t xml:space="preserve">Evaluating and validating the performance of prediction models is a crucial task in statistics, machine learning, and their diverse applications, including precision medicine. However, developing robust prediction performance measures, particularly for time-to-event data, poses unique challenges. In this talk, I will highlight how conventional performance metrics for time-to-event data—such as the C-index, Brier Score, and time-dependent AUC—may yield undesirable results when comparing prediction models or algorithms. I will then introduce a novel time-dependent </w:t>
                      </w:r>
                      <w:proofErr w:type="gramStart"/>
                      <w:r w:rsidR="00DB4073" w:rsidRPr="005A22AD">
                        <w:rPr>
                          <w:rFonts w:ascii="Arial" w:hAnsi="Arial" w:cs="Arial"/>
                          <w:color w:val="0D0D0D"/>
                          <w:sz w:val="22"/>
                          <w:szCs w:val="22"/>
                          <w:shd w:val="clear" w:color="auto" w:fill="FFFFFF"/>
                        </w:rPr>
                        <w:t>pseudo R</w:t>
                      </w:r>
                      <w:proofErr w:type="gramEnd"/>
                      <w:r w:rsidR="00DB4073" w:rsidRPr="005A22AD">
                        <w:rPr>
                          <w:rFonts w:ascii="Arial" w:hAnsi="Arial" w:cs="Arial"/>
                          <w:color w:val="0D0D0D"/>
                          <w:sz w:val="22"/>
                          <w:szCs w:val="22"/>
                          <w:shd w:val="clear" w:color="auto" w:fill="FFFFFF"/>
                        </w:rPr>
                        <w:t xml:space="preserve">-squared measure and demonstrate its utility as a prediction performance metric for uncensored and right-censored time-to-event data. Additionally, I will discuss its extension to </w:t>
                      </w:r>
                      <w:proofErr w:type="gramStart"/>
                      <w:r w:rsidR="00DB4073" w:rsidRPr="005A22AD">
                        <w:rPr>
                          <w:rFonts w:ascii="Arial" w:hAnsi="Arial" w:cs="Arial"/>
                          <w:color w:val="0D0D0D"/>
                          <w:sz w:val="22"/>
                          <w:szCs w:val="22"/>
                          <w:shd w:val="clear" w:color="auto" w:fill="FFFFFF"/>
                        </w:rPr>
                        <w:t>competing</w:t>
                      </w:r>
                      <w:proofErr w:type="gramEnd"/>
                      <w:r w:rsidR="00DB4073" w:rsidRPr="005A22AD">
                        <w:rPr>
                          <w:rFonts w:ascii="Arial" w:hAnsi="Arial" w:cs="Arial"/>
                          <w:color w:val="0D0D0D"/>
                          <w:sz w:val="22"/>
                          <w:szCs w:val="22"/>
                          <w:shd w:val="clear" w:color="auto" w:fill="FFFFFF"/>
                        </w:rPr>
                        <w:t xml:space="preserve"> risks scenarios and to popular epidemiologic designs, including case-cohort and nested case-control designs. Its effectiveness will be demonstrated through simulations and real-world examples.</w:t>
                      </w:r>
                    </w:p>
                    <w:p w14:paraId="095793AA" w14:textId="77777777" w:rsidR="00B76378" w:rsidRDefault="00B76378">
                      <w:pPr>
                        <w:spacing w:line="275" w:lineRule="auto"/>
                        <w:textDirection w:val="btLr"/>
                      </w:pPr>
                    </w:p>
                    <w:p w14:paraId="4EF2D085" w14:textId="4809B593" w:rsidR="000232EE" w:rsidRDefault="00000000">
                      <w:pPr>
                        <w:spacing w:line="275" w:lineRule="auto"/>
                        <w:textDirection w:val="btLr"/>
                      </w:pPr>
                      <w:r>
                        <w:rPr>
                          <w:rFonts w:ascii="Arial" w:eastAsia="Arial" w:hAnsi="Arial" w:cs="Arial"/>
                          <w:b/>
                          <w:color w:val="000000"/>
                          <w:sz w:val="22"/>
                          <w:highlight w:val="white"/>
                        </w:rPr>
                        <w:t>Bio</w:t>
                      </w:r>
                      <w:r>
                        <w:rPr>
                          <w:rFonts w:ascii="Arial" w:eastAsia="Arial" w:hAnsi="Arial" w:cs="Arial"/>
                          <w:color w:val="000000"/>
                          <w:sz w:val="22"/>
                          <w:highlight w:val="white"/>
                        </w:rPr>
                        <w:t xml:space="preserve">: </w:t>
                      </w:r>
                      <w:r w:rsidR="00DB4073" w:rsidRPr="00B76378">
                        <w:rPr>
                          <w:rFonts w:ascii="Arial" w:eastAsia="Arial" w:hAnsi="Arial" w:cs="Arial"/>
                          <w:b/>
                          <w:bCs/>
                          <w:color w:val="000000"/>
                          <w:sz w:val="22"/>
                        </w:rPr>
                        <w:t xml:space="preserve">Dr. </w:t>
                      </w:r>
                      <w:r w:rsidR="00DB4073" w:rsidRPr="00B76378">
                        <w:rPr>
                          <w:rFonts w:ascii="Arial" w:hAnsi="Arial" w:cs="Arial"/>
                          <w:b/>
                          <w:bCs/>
                          <w:color w:val="0D0D0D"/>
                          <w:sz w:val="22"/>
                          <w:szCs w:val="22"/>
                          <w:shd w:val="clear" w:color="auto" w:fill="FFFFFF"/>
                        </w:rPr>
                        <w:t>Gang Li</w:t>
                      </w:r>
                      <w:r w:rsidR="00DB4073" w:rsidRPr="00394EBF">
                        <w:rPr>
                          <w:rFonts w:ascii="Arial" w:hAnsi="Arial" w:cs="Arial"/>
                          <w:color w:val="0D0D0D"/>
                          <w:sz w:val="22"/>
                          <w:szCs w:val="22"/>
                          <w:shd w:val="clear" w:color="auto" w:fill="FFFFFF"/>
                        </w:rPr>
                        <w:t xml:space="preserve"> is Professor of Biostatistics and Computational Medicine at the University of California, Los Angeles (UCLA), where he also serves as Director of the UCLA Health Jonsson Comprehensive Cancer Center Biostatistics Shared Resource. He is an Elected Fellow of the Institute of Mathematical Statistics, the American Statistical Association, and the Royal Statistical Society, as well as an Elected Member of the International Statistical Institute.</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Dr. Li has held numerous leadership roles in the statistical profession, including servi</w:t>
                      </w:r>
                      <w:r w:rsidR="00DB4073">
                        <w:rPr>
                          <w:rFonts w:ascii="Arial" w:hAnsi="Arial" w:cs="Arial"/>
                          <w:color w:val="0D0D0D"/>
                          <w:sz w:val="22"/>
                          <w:szCs w:val="22"/>
                          <w:shd w:val="clear" w:color="auto" w:fill="FFFFFF"/>
                        </w:rPr>
                        <w:t>ng</w:t>
                      </w:r>
                      <w:r w:rsidR="00DB4073" w:rsidRPr="00394EBF">
                        <w:rPr>
                          <w:rFonts w:ascii="Arial" w:hAnsi="Arial" w:cs="Arial"/>
                          <w:color w:val="0D0D0D"/>
                          <w:sz w:val="22"/>
                          <w:szCs w:val="22"/>
                          <w:shd w:val="clear" w:color="auto" w:fill="FFFFFF"/>
                        </w:rPr>
                        <w:t xml:space="preserve"> as </w:t>
                      </w:r>
                      <w:r w:rsidR="00DB4073">
                        <w:rPr>
                          <w:rFonts w:ascii="Arial" w:hAnsi="Arial" w:cs="Arial"/>
                          <w:color w:val="0D0D0D"/>
                          <w:sz w:val="22"/>
                          <w:szCs w:val="22"/>
                          <w:shd w:val="clear" w:color="auto" w:fill="FFFFFF"/>
                        </w:rPr>
                        <w:t>C</w:t>
                      </w:r>
                      <w:r w:rsidR="00DB4073" w:rsidRPr="00394EBF">
                        <w:rPr>
                          <w:rFonts w:ascii="Arial" w:hAnsi="Arial" w:cs="Arial"/>
                          <w:color w:val="0D0D0D"/>
                          <w:sz w:val="22"/>
                          <w:szCs w:val="22"/>
                          <w:shd w:val="clear" w:color="auto" w:fill="FFFFFF"/>
                        </w:rPr>
                        <w:t xml:space="preserve">o-Editor-in-Chief </w:t>
                      </w:r>
                      <w:r w:rsidR="00DB4073">
                        <w:rPr>
                          <w:rFonts w:ascii="Arial" w:hAnsi="Arial" w:cs="Arial"/>
                          <w:color w:val="0D0D0D"/>
                          <w:sz w:val="22"/>
                          <w:szCs w:val="22"/>
                          <w:shd w:val="clear" w:color="auto" w:fill="FFFFFF"/>
                        </w:rPr>
                        <w:t xml:space="preserve">(2021-2024) </w:t>
                      </w:r>
                      <w:r w:rsidR="00DB4073" w:rsidRPr="00394EBF">
                        <w:rPr>
                          <w:rFonts w:ascii="Arial" w:hAnsi="Arial" w:cs="Arial"/>
                          <w:color w:val="0D0D0D"/>
                          <w:sz w:val="22"/>
                          <w:szCs w:val="22"/>
                          <w:shd w:val="clear" w:color="auto" w:fill="FFFFFF"/>
                        </w:rPr>
                        <w:t xml:space="preserve">of the </w:t>
                      </w:r>
                      <w:r w:rsidR="00DB4073" w:rsidRPr="00394EBF">
                        <w:rPr>
                          <w:rFonts w:ascii="Arial" w:hAnsi="Arial" w:cs="Arial"/>
                          <w:i/>
                          <w:iCs/>
                          <w:color w:val="0D0D0D"/>
                          <w:sz w:val="22"/>
                          <w:szCs w:val="22"/>
                          <w:shd w:val="clear" w:color="auto" w:fill="FFFFFF"/>
                        </w:rPr>
                        <w:t>Electronic Journal of Statistics</w:t>
                      </w:r>
                      <w:r w:rsidR="00DB4073" w:rsidRPr="00394EBF">
                        <w:rPr>
                          <w:rFonts w:ascii="Arial" w:hAnsi="Arial" w:cs="Arial"/>
                          <w:color w:val="0D0D0D"/>
                          <w:sz w:val="22"/>
                          <w:szCs w:val="22"/>
                          <w:shd w:val="clear" w:color="auto" w:fill="FFFFFF"/>
                        </w:rPr>
                        <w:t xml:space="preserve"> (published jointly by the Institute of Mathematical Statistics and the Bernoulli Society) and as President of the International Chinese Statistical Association</w:t>
                      </w:r>
                      <w:r w:rsidR="00DB4073">
                        <w:rPr>
                          <w:rFonts w:ascii="Arial" w:hAnsi="Arial" w:cs="Arial"/>
                          <w:color w:val="0D0D0D"/>
                          <w:sz w:val="22"/>
                          <w:szCs w:val="22"/>
                          <w:shd w:val="clear" w:color="auto" w:fill="FFFFFF"/>
                        </w:rPr>
                        <w:t xml:space="preserve"> (2021-2024)</w:t>
                      </w:r>
                      <w:r w:rsidR="00DB4073" w:rsidRPr="00394EBF">
                        <w:rPr>
                          <w:rFonts w:ascii="Arial" w:hAnsi="Arial" w:cs="Arial"/>
                          <w:color w:val="0D0D0D"/>
                          <w:sz w:val="22"/>
                          <w:szCs w:val="22"/>
                          <w:shd w:val="clear" w:color="auto" w:fill="FFFFFF"/>
                        </w:rPr>
                        <w:t>.</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 xml:space="preserve">His research spans a broad range of areas, including survival analysis, longitudinal data analysis, high-dimensional data analysis, clinical trials, statistical learning, causal inference, and high-performance statistical computing for large-scale electronic health records (EHR) and biobank data. He has made substantial contributions to these fields, co-authored or edited three research monographs, and published more than 160 peer-reviewed papers in leading journals such as the </w:t>
                      </w:r>
                      <w:r w:rsidR="00DB4073" w:rsidRPr="00394EBF">
                        <w:rPr>
                          <w:rFonts w:ascii="Arial" w:hAnsi="Arial" w:cs="Arial"/>
                          <w:i/>
                          <w:iCs/>
                          <w:color w:val="0D0D0D"/>
                          <w:sz w:val="22"/>
                          <w:szCs w:val="22"/>
                          <w:shd w:val="clear" w:color="auto" w:fill="FFFFFF"/>
                        </w:rPr>
                        <w:t>Annals of Statistics</w:t>
                      </w:r>
                      <w:r w:rsidR="00DB4073" w:rsidRPr="00394EBF">
                        <w:rPr>
                          <w:rFonts w:ascii="Arial" w:hAnsi="Arial" w:cs="Arial"/>
                          <w:color w:val="0D0D0D"/>
                          <w:sz w:val="22"/>
                          <w:szCs w:val="22"/>
                          <w:shd w:val="clear" w:color="auto" w:fill="FFFFFF"/>
                        </w:rPr>
                        <w:t xml:space="preserve">, the </w:t>
                      </w:r>
                      <w:r w:rsidR="00DB4073" w:rsidRPr="00394EBF">
                        <w:rPr>
                          <w:rFonts w:ascii="Arial" w:hAnsi="Arial" w:cs="Arial"/>
                          <w:i/>
                          <w:iCs/>
                          <w:color w:val="0D0D0D"/>
                          <w:sz w:val="22"/>
                          <w:szCs w:val="22"/>
                          <w:shd w:val="clear" w:color="auto" w:fill="FFFFFF"/>
                        </w:rPr>
                        <w:t>Journal of the American Statistical Association</w:t>
                      </w:r>
                      <w:r w:rsidR="00DB4073" w:rsidRPr="00394EBF">
                        <w:rPr>
                          <w:rFonts w:ascii="Arial" w:hAnsi="Arial" w:cs="Arial"/>
                          <w:color w:val="0D0D0D"/>
                          <w:sz w:val="22"/>
                          <w:szCs w:val="22"/>
                          <w:shd w:val="clear" w:color="auto" w:fill="FFFFFF"/>
                        </w:rPr>
                        <w:t xml:space="preserve">, and the </w:t>
                      </w:r>
                      <w:r w:rsidR="00DB4073" w:rsidRPr="00394EBF">
                        <w:rPr>
                          <w:rFonts w:ascii="Arial" w:hAnsi="Arial" w:cs="Arial"/>
                          <w:i/>
                          <w:iCs/>
                          <w:color w:val="0D0D0D"/>
                          <w:sz w:val="22"/>
                          <w:szCs w:val="22"/>
                          <w:shd w:val="clear" w:color="auto" w:fill="FFFFFF"/>
                        </w:rPr>
                        <w:t>Journal of the Royal Statistical Society: Series B</w:t>
                      </w:r>
                      <w:r w:rsidR="00DB4073" w:rsidRPr="00394EBF">
                        <w:rPr>
                          <w:rFonts w:ascii="Arial" w:hAnsi="Arial" w:cs="Arial"/>
                          <w:color w:val="0D0D0D"/>
                          <w:sz w:val="22"/>
                          <w:szCs w:val="22"/>
                          <w:shd w:val="clear" w:color="auto" w:fill="FFFFFF"/>
                        </w:rPr>
                        <w:t>.</w:t>
                      </w:r>
                      <w:r w:rsidR="00DB4073">
                        <w:rPr>
                          <w:rFonts w:ascii="Arial" w:hAnsi="Arial" w:cs="Arial"/>
                          <w:color w:val="0D0D0D"/>
                          <w:sz w:val="22"/>
                          <w:szCs w:val="22"/>
                          <w:shd w:val="clear" w:color="auto" w:fill="FFFFFF"/>
                        </w:rPr>
                        <w:t xml:space="preserve"> </w:t>
                      </w:r>
                      <w:r w:rsidR="00DB4073" w:rsidRPr="00394EBF">
                        <w:rPr>
                          <w:rFonts w:ascii="Arial" w:hAnsi="Arial" w:cs="Arial"/>
                          <w:color w:val="0D0D0D"/>
                          <w:sz w:val="22"/>
                          <w:szCs w:val="22"/>
                          <w:shd w:val="clear" w:color="auto" w:fill="FFFFFF"/>
                        </w:rPr>
                        <w:t>In addition to methodological research, Dr. Li is deeply engaged in collaborative studies in basic science, translational science, and clinical trials. He has served as Principal Investigator on numerous projects supported by the National Institutes of Health (NIH) and the National Science Foundation (NSF).</w:t>
                      </w:r>
                    </w:p>
                  </w:txbxContent>
                </v:textbox>
                <w10:wrap type="square"/>
              </v:rect>
            </w:pict>
          </mc:Fallback>
        </mc:AlternateContent>
      </w:r>
      <w:r w:rsidR="00000000">
        <w:rPr>
          <w:rFonts w:ascii="Calibri" w:eastAsia="Calibri" w:hAnsi="Calibri" w:cs="Calibri"/>
          <w:b/>
        </w:rPr>
        <w:t>Passcode: 343271</w:t>
      </w:r>
    </w:p>
    <w:sectPr w:rsidR="000232EE">
      <w:headerReference w:type="default" r:id="rId14"/>
      <w:pgSz w:w="12240" w:h="15840"/>
      <w:pgMar w:top="1008" w:right="475" w:bottom="1008" w:left="475" w:header="36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7EAA9A" w14:textId="77777777" w:rsidR="00B059AB" w:rsidRDefault="00B059AB">
      <w:r>
        <w:separator/>
      </w:r>
    </w:p>
  </w:endnote>
  <w:endnote w:type="continuationSeparator" w:id="0">
    <w:p w14:paraId="5D4B4987" w14:textId="77777777" w:rsidR="00B059AB" w:rsidRDefault="00B05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B0E16B" w14:textId="77777777" w:rsidR="00B059AB" w:rsidRDefault="00B059AB">
      <w:r>
        <w:separator/>
      </w:r>
    </w:p>
  </w:footnote>
  <w:footnote w:type="continuationSeparator" w:id="0">
    <w:p w14:paraId="24FBC619" w14:textId="77777777" w:rsidR="00B059AB" w:rsidRDefault="00B059A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9A5503" w14:textId="77777777" w:rsidR="000232EE" w:rsidRDefault="000232EE">
    <w:pPr>
      <w:pBdr>
        <w:top w:val="nil"/>
        <w:left w:val="nil"/>
        <w:bottom w:val="nil"/>
        <w:right w:val="nil"/>
        <w:between w:val="nil"/>
      </w:pBdr>
      <w:tabs>
        <w:tab w:val="center" w:pos="4320"/>
        <w:tab w:val="right" w:pos="8640"/>
        <w:tab w:val="left" w:pos="0"/>
        <w:tab w:val="right" w:pos="9360"/>
      </w:tabs>
      <w:ind w:right="-900"/>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32EE"/>
    <w:rsid w:val="000232EE"/>
    <w:rsid w:val="006844AB"/>
    <w:rsid w:val="00B059AB"/>
    <w:rsid w:val="00B76378"/>
    <w:rsid w:val="00DB40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C3150"/>
  <w15:docId w15:val="{B41D1BF6-0432-3D4D-A979-2509CEA31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outlineLvl w:val="3"/>
    </w:pPr>
    <w:rPr>
      <w:b/>
    </w:rPr>
  </w:style>
  <w:style w:type="paragraph" w:styleId="Heading5">
    <w:name w:val="heading 5"/>
    <w:basedOn w:val="Normal"/>
    <w:next w:val="Normal"/>
    <w:uiPriority w:val="9"/>
    <w:semiHidden/>
    <w:unhideWhenUsed/>
    <w:qFormat/>
    <w:pPr>
      <w:spacing w:before="240" w:after="60"/>
      <w:outlineLvl w:val="4"/>
    </w:pPr>
    <w:rPr>
      <w:b/>
      <w:i/>
      <w:sz w:val="26"/>
      <w:szCs w:val="26"/>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table" w:customStyle="1" w:styleId="TableNormal1">
    <w:name w:val="TableNormal"/>
    <w:tblPr>
      <w:tblCellMar>
        <w:top w:w="100" w:type="dxa"/>
        <w:left w:w="100" w:type="dxa"/>
        <w:bottom w:w="100" w:type="dxa"/>
        <w:right w:w="100" w:type="dxa"/>
      </w:tblCellMar>
    </w:tblPr>
  </w:style>
  <w:style w:type="table" w:customStyle="1" w:styleId="TableNormal2">
    <w:name w:val="TableNormal"/>
    <w:tblPr>
      <w:tblCellMar>
        <w:top w:w="100" w:type="dxa"/>
        <w:left w:w="100" w:type="dxa"/>
        <w:bottom w:w="100" w:type="dxa"/>
        <w:right w:w="100" w:type="dxa"/>
      </w:tblCellMar>
    </w:tblPr>
  </w:style>
  <w:style w:type="table" w:customStyle="1" w:styleId="TableNormal3">
    <w:name w:val="TableNormal"/>
    <w:tblPr>
      <w:tblCellMar>
        <w:top w:w="100" w:type="dxa"/>
        <w:left w:w="100" w:type="dxa"/>
        <w:bottom w:w="100" w:type="dxa"/>
        <w:right w:w="100" w:type="dxa"/>
      </w:tblCellMar>
    </w:tblPr>
  </w:style>
  <w:style w:type="table" w:customStyle="1" w:styleId="TableNormal4">
    <w:name w:val="TableNormal"/>
    <w:tblPr>
      <w:tblCellMar>
        <w:top w:w="100" w:type="dxa"/>
        <w:left w:w="100" w:type="dxa"/>
        <w:bottom w:w="100" w:type="dxa"/>
        <w:right w:w="100" w:type="dxa"/>
      </w:tblCellMar>
    </w:tblPr>
  </w:style>
  <w:style w:type="paragraph" w:styleId="Header">
    <w:name w:val="header"/>
    <w:basedOn w:val="Normal"/>
    <w:rsid w:val="008E00F4"/>
    <w:pPr>
      <w:tabs>
        <w:tab w:val="center" w:pos="4320"/>
        <w:tab w:val="right" w:pos="8640"/>
      </w:tabs>
    </w:pPr>
  </w:style>
  <w:style w:type="paragraph" w:styleId="Footer">
    <w:name w:val="footer"/>
    <w:basedOn w:val="Normal"/>
    <w:rsid w:val="008E00F4"/>
    <w:pPr>
      <w:tabs>
        <w:tab w:val="center" w:pos="4320"/>
        <w:tab w:val="right" w:pos="8640"/>
      </w:tabs>
    </w:pPr>
  </w:style>
  <w:style w:type="character" w:styleId="Hyperlink">
    <w:name w:val="Hyperlink"/>
    <w:uiPriority w:val="99"/>
    <w:rsid w:val="00E312C9"/>
    <w:rPr>
      <w:color w:val="0000FF"/>
      <w:u w:val="single"/>
    </w:rPr>
  </w:style>
  <w:style w:type="paragraph" w:styleId="NormalWeb">
    <w:name w:val="Normal (Web)"/>
    <w:basedOn w:val="Normal"/>
    <w:uiPriority w:val="99"/>
    <w:rsid w:val="006D13C9"/>
    <w:pPr>
      <w:spacing w:before="100" w:beforeAutospacing="1" w:after="100" w:afterAutospacing="1"/>
    </w:pPr>
  </w:style>
  <w:style w:type="character" w:styleId="Strong">
    <w:name w:val="Strong"/>
    <w:qFormat/>
    <w:rsid w:val="006D13C9"/>
    <w:rPr>
      <w:b/>
      <w:bCs/>
    </w:rPr>
  </w:style>
  <w:style w:type="character" w:customStyle="1" w:styleId="textbody12point">
    <w:name w:val="textbody12point"/>
    <w:basedOn w:val="DefaultParagraphFont"/>
    <w:rsid w:val="006D13C9"/>
  </w:style>
  <w:style w:type="paragraph" w:styleId="HTMLPreformatted">
    <w:name w:val="HTML Preformatted"/>
    <w:basedOn w:val="Normal"/>
    <w:link w:val="HTMLPreformattedChar"/>
    <w:uiPriority w:val="99"/>
    <w:rsid w:val="009856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paragraph" w:styleId="BodyText2">
    <w:name w:val="Body Text 2"/>
    <w:basedOn w:val="Normal"/>
    <w:rsid w:val="00C64DD8"/>
    <w:pPr>
      <w:jc w:val="both"/>
    </w:pPr>
    <w:rPr>
      <w:szCs w:val="20"/>
    </w:rPr>
  </w:style>
  <w:style w:type="character" w:customStyle="1" w:styleId="seminarabstractredtext12point">
    <w:name w:val="seminarabstractredtext12point"/>
    <w:basedOn w:val="DefaultParagraphFont"/>
    <w:rsid w:val="00E11E01"/>
  </w:style>
  <w:style w:type="paragraph" w:customStyle="1" w:styleId="Default">
    <w:name w:val="Default"/>
    <w:rsid w:val="00BB2B5F"/>
    <w:pPr>
      <w:autoSpaceDE w:val="0"/>
      <w:autoSpaceDN w:val="0"/>
      <w:adjustRightInd w:val="0"/>
    </w:pPr>
    <w:rPr>
      <w:rFonts w:eastAsia="MS Mincho"/>
      <w:color w:val="000000"/>
      <w:lang w:eastAsia="ja-JP"/>
    </w:rPr>
  </w:style>
  <w:style w:type="paragraph" w:styleId="BalloonText">
    <w:name w:val="Balloon Text"/>
    <w:basedOn w:val="Normal"/>
    <w:link w:val="BalloonTextChar"/>
    <w:rsid w:val="001906C1"/>
    <w:rPr>
      <w:rFonts w:ascii="Tahoma" w:hAnsi="Tahoma" w:cs="Tahoma"/>
      <w:sz w:val="16"/>
      <w:szCs w:val="16"/>
    </w:rPr>
  </w:style>
  <w:style w:type="character" w:customStyle="1" w:styleId="BalloonTextChar">
    <w:name w:val="Balloon Text Char"/>
    <w:basedOn w:val="DefaultParagraphFont"/>
    <w:link w:val="BalloonText"/>
    <w:rsid w:val="001906C1"/>
    <w:rPr>
      <w:rFonts w:ascii="Tahoma" w:hAnsi="Tahoma" w:cs="Tahoma"/>
      <w:sz w:val="16"/>
      <w:szCs w:val="16"/>
    </w:rPr>
  </w:style>
  <w:style w:type="paragraph" w:styleId="PlainText">
    <w:name w:val="Plain Text"/>
    <w:basedOn w:val="Normal"/>
    <w:link w:val="PlainTextChar"/>
    <w:uiPriority w:val="99"/>
    <w:unhideWhenUsed/>
    <w:rsid w:val="008B3FEC"/>
    <w:rPr>
      <w:rFonts w:ascii="Calibri" w:eastAsiaTheme="minorHAnsi" w:hAnsi="Calibri" w:cstheme="minorBidi"/>
      <w:sz w:val="22"/>
      <w:szCs w:val="21"/>
    </w:rPr>
  </w:style>
  <w:style w:type="character" w:customStyle="1" w:styleId="PlainTextChar">
    <w:name w:val="Plain Text Char"/>
    <w:basedOn w:val="DefaultParagraphFont"/>
    <w:link w:val="PlainText"/>
    <w:uiPriority w:val="99"/>
    <w:rsid w:val="008B3FEC"/>
    <w:rPr>
      <w:rFonts w:ascii="Calibri" w:eastAsiaTheme="minorHAnsi" w:hAnsi="Calibri" w:cstheme="minorBidi"/>
      <w:sz w:val="22"/>
      <w:szCs w:val="21"/>
    </w:rPr>
  </w:style>
  <w:style w:type="paragraph" w:customStyle="1" w:styleId="xmsonormal">
    <w:name w:val="x_msonormal"/>
    <w:basedOn w:val="Normal"/>
    <w:uiPriority w:val="99"/>
    <w:rsid w:val="002812C3"/>
    <w:rPr>
      <w:rFonts w:eastAsiaTheme="minorHAnsi"/>
    </w:rPr>
  </w:style>
  <w:style w:type="character" w:customStyle="1" w:styleId="HTMLPreformattedChar">
    <w:name w:val="HTML Preformatted Char"/>
    <w:basedOn w:val="DefaultParagraphFont"/>
    <w:link w:val="HTMLPreformatted"/>
    <w:uiPriority w:val="99"/>
    <w:rsid w:val="00287DB0"/>
    <w:rPr>
      <w:rFonts w:ascii="Courier New" w:hAnsi="Courier New" w:cs="Courier New"/>
      <w:sz w:val="20"/>
      <w:szCs w:val="20"/>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DB40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h.ucla.edu/about/faculty-staff-directory/gang-li" TargetMode="External"/><Relationship Id="rId13" Type="http://schemas.openxmlformats.org/officeDocument/2006/relationships/hyperlink" Target="https://uwmadison.zoom.us/j/99879638765?pwd=wbtqxoucEFIlPVCVc9SFbvKB1Av7Xk.1" TargetMode="External"/><Relationship Id="rId3" Type="http://schemas.openxmlformats.org/officeDocument/2006/relationships/settings" Target="settings.xml"/><Relationship Id="rId7" Type="http://schemas.openxmlformats.org/officeDocument/2006/relationships/image" Target="media/image4.png"/><Relationship Id="rId12" Type="http://schemas.openxmlformats.org/officeDocument/2006/relationships/hyperlink" Target="https://uwmadison.zoom.us/j/99879638765?pwd=wbtqxoucEFIlPVCVc9SFbvKB1Av7Xk.1"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ph.ucla.edu/about/faculty-staff-directory/gang-li"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wAmNILZpTrXOG0+69PdJ1JRgCQ==">CgMxLjA4AHIhMWpkbTdtd2xkUWhlZ1pVd1B5VDBraE50ZzVQN09rSlpa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61</Words>
  <Characters>348</Characters>
  <Application>Microsoft Office Word</Application>
  <DocSecurity>0</DocSecurity>
  <Lines>2</Lines>
  <Paragraphs>1</Paragraphs>
  <ScaleCrop>false</ScaleCrop>
  <Company/>
  <LinksUpToDate>false</LinksUpToDate>
  <CharactersWithSpaces>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Lane Skoumbouris</dc:creator>
  <cp:lastModifiedBy>Jiwei Zhao</cp:lastModifiedBy>
  <cp:revision>4</cp:revision>
  <dcterms:created xsi:type="dcterms:W3CDTF">2022-09-12T01:11:00Z</dcterms:created>
  <dcterms:modified xsi:type="dcterms:W3CDTF">2025-11-09T19:46:00Z</dcterms:modified>
</cp:coreProperties>
</file>